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79" w:rsidRPr="00AA0B79" w:rsidRDefault="00AA0B79" w:rsidP="00AA0B79">
      <w:pPr>
        <w:spacing w:after="375" w:line="700" w:lineRule="atLeast"/>
        <w:textAlignment w:val="baseline"/>
        <w:outlineLvl w:val="0"/>
        <w:rPr>
          <w:rFonts w:ascii="Arial" w:eastAsia="Times New Roman" w:hAnsi="Arial" w:cs="Arial"/>
          <w:color w:val="333333"/>
          <w:kern w:val="36"/>
          <w:sz w:val="67"/>
          <w:szCs w:val="67"/>
        </w:rPr>
      </w:pPr>
      <w:proofErr w:type="spellStart"/>
      <w:r w:rsidRPr="00AA0B79">
        <w:rPr>
          <w:rFonts w:ascii="Arial" w:eastAsia="Times New Roman" w:hAnsi="Arial" w:cs="Arial"/>
          <w:color w:val="333333"/>
          <w:kern w:val="36"/>
          <w:sz w:val="67"/>
          <w:szCs w:val="67"/>
        </w:rPr>
        <w:t>Eikev</w:t>
      </w:r>
      <w:proofErr w:type="spellEnd"/>
      <w:r w:rsidRPr="00AA0B79">
        <w:rPr>
          <w:rFonts w:ascii="Arial" w:eastAsia="Times New Roman" w:hAnsi="Arial" w:cs="Arial"/>
          <w:color w:val="333333"/>
          <w:kern w:val="36"/>
          <w:sz w:val="67"/>
          <w:szCs w:val="67"/>
        </w:rPr>
        <w:t xml:space="preserve"> (5774) – To Lead is to </w:t>
      </w:r>
      <w:proofErr w:type="gramStart"/>
      <w:r w:rsidRPr="00AA0B79">
        <w:rPr>
          <w:rFonts w:ascii="Arial" w:eastAsia="Times New Roman" w:hAnsi="Arial" w:cs="Arial"/>
          <w:color w:val="333333"/>
          <w:kern w:val="36"/>
          <w:sz w:val="67"/>
          <w:szCs w:val="67"/>
        </w:rPr>
        <w:t>Listen</w:t>
      </w:r>
      <w:proofErr w:type="gramEnd"/>
    </w:p>
    <w:p w:rsidR="00AA0B79" w:rsidRPr="00AA0B79" w:rsidRDefault="00AA0B79" w:rsidP="00AA0B79">
      <w:pPr>
        <w:spacing w:after="0" w:line="315" w:lineRule="atLeast"/>
        <w:textAlignment w:val="baseline"/>
        <w:rPr>
          <w:rFonts w:ascii="Georgia" w:eastAsia="Times New Roman" w:hAnsi="Georgia" w:cs="Times New Roman"/>
          <w:color w:val="333333"/>
          <w:sz w:val="21"/>
          <w:szCs w:val="21"/>
        </w:rPr>
      </w:pPr>
      <w:r w:rsidRPr="00AA0B79">
        <w:rPr>
          <w:rFonts w:ascii="Georgia" w:eastAsia="Times New Roman" w:hAnsi="Georgia" w:cs="Times New Roman"/>
          <w:color w:val="333333"/>
          <w:sz w:val="21"/>
          <w:szCs w:val="21"/>
        </w:rPr>
        <w:t>12 August 2014</w:t>
      </w:r>
    </w:p>
    <w:p w:rsidR="00AA0B79" w:rsidRPr="00AA0B79" w:rsidRDefault="00D86B2A" w:rsidP="00AA0B79">
      <w:pPr>
        <w:spacing w:after="0" w:line="315" w:lineRule="atLeast"/>
        <w:jc w:val="right"/>
        <w:textAlignment w:val="baseline"/>
        <w:rPr>
          <w:rFonts w:ascii="inherit" w:eastAsia="Times New Roman" w:hAnsi="inherit" w:cs="Times New Roman"/>
          <w:color w:val="333333"/>
          <w:sz w:val="21"/>
          <w:szCs w:val="21"/>
        </w:rPr>
      </w:pPr>
      <w:hyperlink r:id="rId6" w:tooltip="View all posts in Covenant &amp; Conversation" w:history="1">
        <w:r w:rsidR="00AA0B79" w:rsidRPr="00AA0B79">
          <w:rPr>
            <w:rFonts w:ascii="Arial" w:eastAsia="Times New Roman" w:hAnsi="Arial" w:cs="Arial"/>
            <w:b/>
            <w:bCs/>
            <w:caps/>
            <w:color w:val="0D5E85"/>
            <w:sz w:val="18"/>
            <w:szCs w:val="18"/>
            <w:bdr w:val="none" w:sz="0" w:space="0" w:color="auto" w:frame="1"/>
          </w:rPr>
          <w:t>COVENANT &amp; CONVERSATION</w:t>
        </w:r>
      </w:hyperlink>
      <w:hyperlink r:id="rId7" w:tooltip="View all posts in Judaism &amp; Torah" w:history="1">
        <w:r w:rsidR="00AA0B79" w:rsidRPr="00AA0B79">
          <w:rPr>
            <w:rFonts w:ascii="Arial" w:eastAsia="Times New Roman" w:hAnsi="Arial" w:cs="Arial"/>
            <w:b/>
            <w:bCs/>
            <w:caps/>
            <w:color w:val="0D5E85"/>
            <w:sz w:val="18"/>
            <w:szCs w:val="18"/>
            <w:bdr w:val="none" w:sz="0" w:space="0" w:color="auto" w:frame="1"/>
          </w:rPr>
          <w:t>JUDAISM &amp; TORAH</w:t>
        </w:r>
      </w:hyperlink>
    </w:p>
    <w:p w:rsidR="00AA0B79" w:rsidRPr="00AA0B79" w:rsidRDefault="00AA0B79" w:rsidP="00AA0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03620" cy="5036820"/>
            <wp:effectExtent l="0" t="0" r="0" b="0"/>
            <wp:docPr id="1" name="Picture 1"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20" cy="5036820"/>
                    </a:xfrm>
                    <a:prstGeom prst="rect">
                      <a:avLst/>
                    </a:prstGeom>
                    <a:noFill/>
                    <a:ln>
                      <a:noFill/>
                    </a:ln>
                  </pic:spPr>
                </pic:pic>
              </a:graphicData>
            </a:graphic>
          </wp:inline>
        </w:drawing>
      </w:r>
    </w:p>
    <w:p w:rsidR="00EB6F4A" w:rsidRDefault="00EB6F4A" w:rsidP="00AA0B79">
      <w:pPr>
        <w:spacing w:after="0" w:line="360" w:lineRule="atLeast"/>
        <w:textAlignment w:val="baseline"/>
      </w:pPr>
    </w:p>
    <w:p w:rsidR="00EB6F4A" w:rsidRDefault="00EB6F4A" w:rsidP="00AA0B79">
      <w:pPr>
        <w:spacing w:after="0" w:line="360" w:lineRule="atLeast"/>
        <w:textAlignment w:val="baseline"/>
      </w:pPr>
    </w:p>
    <w:p w:rsidR="00EB6F4A" w:rsidRDefault="00EB6F4A" w:rsidP="00AA0B79">
      <w:pPr>
        <w:spacing w:after="0" w:line="360" w:lineRule="atLeast"/>
        <w:textAlignment w:val="baseline"/>
      </w:pPr>
    </w:p>
    <w:p w:rsidR="00EB6F4A" w:rsidRDefault="00EB6F4A" w:rsidP="00AA0B79">
      <w:pPr>
        <w:spacing w:after="0" w:line="360" w:lineRule="atLeast"/>
        <w:textAlignment w:val="baseline"/>
      </w:pPr>
    </w:p>
    <w:p w:rsidR="00EB6F4A" w:rsidRDefault="00EB6F4A" w:rsidP="00AA0B79">
      <w:pPr>
        <w:spacing w:after="0" w:line="360" w:lineRule="atLeast"/>
        <w:textAlignment w:val="baseline"/>
      </w:pPr>
    </w:p>
    <w:p w:rsidR="00EB6F4A" w:rsidRDefault="00EB6F4A" w:rsidP="00AA0B79">
      <w:pPr>
        <w:spacing w:after="0" w:line="360" w:lineRule="atLeast"/>
        <w:textAlignment w:val="baseline"/>
      </w:pPr>
    </w:p>
    <w:p w:rsidR="00EB6F4A" w:rsidRPr="00EB6F4A" w:rsidRDefault="00EB6F4A" w:rsidP="00AA0B79">
      <w:pPr>
        <w:spacing w:after="0" w:line="360" w:lineRule="atLeast"/>
        <w:textAlignment w:val="baseline"/>
        <w:rPr>
          <w:b/>
          <w:sz w:val="28"/>
          <w:szCs w:val="28"/>
        </w:rPr>
      </w:pPr>
      <w:r w:rsidRPr="00EB6F4A">
        <w:rPr>
          <w:b/>
          <w:sz w:val="28"/>
          <w:szCs w:val="28"/>
        </w:rPr>
        <w:lastRenderedPageBreak/>
        <w:t>To Lead is To Listen</w:t>
      </w:r>
      <w:proofErr w:type="gramStart"/>
      <w:r w:rsidRPr="00EB6F4A">
        <w:rPr>
          <w:b/>
          <w:sz w:val="28"/>
          <w:szCs w:val="28"/>
        </w:rPr>
        <w:t>,  Rabbi</w:t>
      </w:r>
      <w:proofErr w:type="gramEnd"/>
      <w:r w:rsidRPr="00EB6F4A">
        <w:rPr>
          <w:b/>
          <w:sz w:val="28"/>
          <w:szCs w:val="28"/>
        </w:rPr>
        <w:t xml:space="preserve"> Jonathan Sacks</w:t>
      </w:r>
    </w:p>
    <w:p w:rsidR="00AA0B79" w:rsidRPr="00AA0B79" w:rsidRDefault="00EB6F4A" w:rsidP="00AA0B79">
      <w:pPr>
        <w:spacing w:after="0" w:line="360" w:lineRule="atLeast"/>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 </w:t>
      </w:r>
      <w:r>
        <w:rPr>
          <w:rFonts w:ascii="inherit" w:eastAsia="Times New Roman" w:hAnsi="inherit" w:cs="Times New Roman"/>
          <w:color w:val="333333"/>
          <w:sz w:val="24"/>
          <w:szCs w:val="24"/>
        </w:rPr>
        <w:tab/>
      </w:r>
      <w:r w:rsidR="00AA0B79" w:rsidRPr="00AA0B79">
        <w:rPr>
          <w:rFonts w:ascii="inherit" w:eastAsia="Times New Roman" w:hAnsi="inherit" w:cs="Times New Roman"/>
          <w:color w:val="333333"/>
          <w:sz w:val="24"/>
          <w:szCs w:val="24"/>
        </w:rPr>
        <w:t xml:space="preserve">“If only you would listen to these laws …” (Deut. 7: 12). These words with which our </w:t>
      </w:r>
      <w:proofErr w:type="spellStart"/>
      <w:r w:rsidR="00AA0B79" w:rsidRPr="00AA0B79">
        <w:rPr>
          <w:rFonts w:ascii="inherit" w:eastAsia="Times New Roman" w:hAnsi="inherit" w:cs="Times New Roman"/>
          <w:color w:val="333333"/>
          <w:sz w:val="24"/>
          <w:szCs w:val="24"/>
        </w:rPr>
        <w:t>parsha</w:t>
      </w:r>
      <w:proofErr w:type="spellEnd"/>
      <w:r w:rsidR="00AA0B79" w:rsidRPr="00AA0B79">
        <w:rPr>
          <w:rFonts w:ascii="inherit" w:eastAsia="Times New Roman" w:hAnsi="inherit" w:cs="Times New Roman"/>
          <w:color w:val="333333"/>
          <w:sz w:val="24"/>
          <w:szCs w:val="24"/>
        </w:rPr>
        <w:t xml:space="preserve"> begins contain a verb that is a fundamental motif of the book of </w:t>
      </w:r>
      <w:proofErr w:type="spellStart"/>
      <w:r w:rsidR="00AA0B79" w:rsidRPr="00AA0B79">
        <w:rPr>
          <w:rFonts w:ascii="inherit" w:eastAsia="Times New Roman" w:hAnsi="inherit" w:cs="Times New Roman"/>
          <w:color w:val="333333"/>
          <w:sz w:val="24"/>
          <w:szCs w:val="24"/>
        </w:rPr>
        <w:t>Devarim</w:t>
      </w:r>
      <w:proofErr w:type="spellEnd"/>
      <w:r>
        <w:rPr>
          <w:rFonts w:ascii="inherit" w:eastAsia="Times New Roman" w:hAnsi="inherit" w:cs="Times New Roman"/>
          <w:color w:val="333333"/>
          <w:sz w:val="24"/>
          <w:szCs w:val="24"/>
        </w:rPr>
        <w:t>/Deuteronomy</w:t>
      </w:r>
      <w:r w:rsidR="00AA0B79" w:rsidRPr="00AA0B79">
        <w:rPr>
          <w:rFonts w:ascii="inherit" w:eastAsia="Times New Roman" w:hAnsi="inherit" w:cs="Times New Roman"/>
          <w:color w:val="333333"/>
          <w:sz w:val="24"/>
          <w:szCs w:val="24"/>
        </w:rPr>
        <w:t>. The verb is </w:t>
      </w:r>
      <w:proofErr w:type="spellStart"/>
      <w:r w:rsidR="00AA0B79" w:rsidRPr="00AA0B79">
        <w:rPr>
          <w:rFonts w:ascii="inherit" w:eastAsia="Times New Roman" w:hAnsi="inherit" w:cs="Times New Roman"/>
          <w:i/>
          <w:iCs/>
          <w:color w:val="333333"/>
          <w:sz w:val="24"/>
          <w:szCs w:val="24"/>
          <w:bdr w:val="none" w:sz="0" w:space="0" w:color="auto" w:frame="1"/>
        </w:rPr>
        <w:t>sh</w:t>
      </w:r>
      <w:proofErr w:type="spellEnd"/>
      <w:r w:rsidR="00AA0B79" w:rsidRPr="00AA0B79">
        <w:rPr>
          <w:rFonts w:ascii="inherit" w:eastAsia="Times New Roman" w:hAnsi="inherit" w:cs="Times New Roman"/>
          <w:i/>
          <w:iCs/>
          <w:color w:val="333333"/>
          <w:sz w:val="24"/>
          <w:szCs w:val="24"/>
          <w:bdr w:val="none" w:sz="0" w:space="0" w:color="auto" w:frame="1"/>
        </w:rPr>
        <w:t>-m-a</w:t>
      </w:r>
      <w:r w:rsidR="00AA0B79" w:rsidRPr="00AA0B79">
        <w:rPr>
          <w:rFonts w:ascii="inherit" w:eastAsia="Times New Roman" w:hAnsi="inherit" w:cs="Times New Roman"/>
          <w:color w:val="333333"/>
          <w:sz w:val="24"/>
          <w:szCs w:val="24"/>
        </w:rPr>
        <w:t xml:space="preserve">. </w:t>
      </w:r>
      <w:r>
        <w:rPr>
          <w:rFonts w:ascii="inherit" w:eastAsia="Times New Roman" w:hAnsi="inherit" w:cs="Times New Roman"/>
          <w:color w:val="333333"/>
          <w:sz w:val="24"/>
          <w:szCs w:val="24"/>
        </w:rPr>
        <w:t>…</w:t>
      </w:r>
      <w:r w:rsidR="00AA0B79" w:rsidRPr="00AA0B79">
        <w:rPr>
          <w:rFonts w:ascii="inherit" w:eastAsia="Times New Roman" w:hAnsi="inherit" w:cs="Times New Roman"/>
          <w:color w:val="333333"/>
          <w:sz w:val="24"/>
          <w:szCs w:val="24"/>
        </w:rPr>
        <w:t xml:space="preserve"> It appears no less than 92 times in </w:t>
      </w:r>
      <w:proofErr w:type="spellStart"/>
      <w:r w:rsidR="00AA0B79" w:rsidRPr="00AA0B79">
        <w:rPr>
          <w:rFonts w:ascii="inherit" w:eastAsia="Times New Roman" w:hAnsi="inherit" w:cs="Times New Roman"/>
          <w:color w:val="333333"/>
          <w:sz w:val="24"/>
          <w:szCs w:val="24"/>
        </w:rPr>
        <w:t>Devarim</w:t>
      </w:r>
      <w:proofErr w:type="spellEnd"/>
      <w:r w:rsidR="00AA0B79" w:rsidRPr="00AA0B79">
        <w:rPr>
          <w:rFonts w:ascii="inherit" w:eastAsia="Times New Roman" w:hAnsi="inherit" w:cs="Times New Roman"/>
          <w:color w:val="333333"/>
          <w:sz w:val="24"/>
          <w:szCs w:val="24"/>
        </w:rPr>
        <w:t xml:space="preserve"> as a whole.</w:t>
      </w:r>
    </w:p>
    <w:p w:rsid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We often miss the significance of this word because of what I call </w:t>
      </w:r>
      <w:r w:rsidRPr="00AA0B79">
        <w:rPr>
          <w:rFonts w:ascii="inherit" w:eastAsia="Times New Roman" w:hAnsi="inherit" w:cs="Times New Roman"/>
          <w:i/>
          <w:iCs/>
          <w:color w:val="333333"/>
          <w:sz w:val="24"/>
          <w:szCs w:val="24"/>
          <w:bdr w:val="none" w:sz="0" w:space="0" w:color="auto" w:frame="1"/>
        </w:rPr>
        <w:t>the fallacy of translatability</w:t>
      </w:r>
      <w:r w:rsidRPr="00AA0B79">
        <w:rPr>
          <w:rFonts w:ascii="inherit" w:eastAsia="Times New Roman" w:hAnsi="inherit" w:cs="Times New Roman"/>
          <w:color w:val="333333"/>
          <w:sz w:val="24"/>
          <w:szCs w:val="24"/>
        </w:rPr>
        <w:t xml:space="preserve">: the assumption that one language is fully translatable into another. </w:t>
      </w:r>
      <w:r w:rsidR="00D11B98">
        <w:rPr>
          <w:rFonts w:ascii="inherit" w:eastAsia="Times New Roman" w:hAnsi="inherit" w:cs="Times New Roman"/>
          <w:color w:val="333333"/>
          <w:sz w:val="24"/>
          <w:szCs w:val="24"/>
        </w:rPr>
        <w:t>..</w:t>
      </w:r>
      <w:r w:rsidRPr="00AA0B79">
        <w:rPr>
          <w:rFonts w:ascii="inherit" w:eastAsia="Times New Roman" w:hAnsi="inherit" w:cs="Times New Roman"/>
          <w:color w:val="333333"/>
          <w:sz w:val="24"/>
          <w:szCs w:val="24"/>
        </w:rPr>
        <w:t>Languages are only partially translatable into one another</w:t>
      </w:r>
      <w:proofErr w:type="gramStart"/>
      <w:r w:rsidRPr="00AA0B79">
        <w:rPr>
          <w:rFonts w:ascii="inherit" w:eastAsia="Times New Roman" w:hAnsi="inherit" w:cs="Times New Roman"/>
          <w:color w:val="333333"/>
          <w:sz w:val="24"/>
          <w:szCs w:val="24"/>
        </w:rPr>
        <w:t>.[</w:t>
      </w:r>
      <w:proofErr w:type="gramEnd"/>
      <w:r w:rsidRPr="00AA0B79">
        <w:rPr>
          <w:rFonts w:ascii="inherit" w:eastAsia="Times New Roman" w:hAnsi="inherit" w:cs="Times New Roman"/>
          <w:color w:val="333333"/>
          <w:sz w:val="24"/>
          <w:szCs w:val="24"/>
        </w:rPr>
        <w:t xml:space="preserve">1] </w:t>
      </w:r>
      <w:r w:rsidR="00EB6F4A">
        <w:rPr>
          <w:rFonts w:ascii="inherit" w:eastAsia="Times New Roman" w:hAnsi="inherit" w:cs="Times New Roman"/>
          <w:color w:val="333333"/>
          <w:sz w:val="24"/>
          <w:szCs w:val="24"/>
        </w:rPr>
        <w:t>…</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This is particularly so in the case of the Hebrew verb </w:t>
      </w:r>
      <w:proofErr w:type="spellStart"/>
      <w:r w:rsidRPr="00AA0B79">
        <w:rPr>
          <w:rFonts w:ascii="inherit" w:eastAsia="Times New Roman" w:hAnsi="inherit" w:cs="Times New Roman"/>
          <w:i/>
          <w:iCs/>
          <w:color w:val="333333"/>
          <w:sz w:val="24"/>
          <w:szCs w:val="24"/>
          <w:bdr w:val="none" w:sz="0" w:space="0" w:color="auto" w:frame="1"/>
        </w:rPr>
        <w:t>sh</w:t>
      </w:r>
      <w:proofErr w:type="spellEnd"/>
      <w:r w:rsidRPr="00AA0B79">
        <w:rPr>
          <w:rFonts w:ascii="inherit" w:eastAsia="Times New Roman" w:hAnsi="inherit" w:cs="Times New Roman"/>
          <w:i/>
          <w:iCs/>
          <w:color w:val="333333"/>
          <w:sz w:val="24"/>
          <w:szCs w:val="24"/>
          <w:bdr w:val="none" w:sz="0" w:space="0" w:color="auto" w:frame="1"/>
        </w:rPr>
        <w:t>-m-a</w:t>
      </w:r>
      <w:r w:rsidRPr="00AA0B79">
        <w:rPr>
          <w:rFonts w:ascii="inherit" w:eastAsia="Times New Roman" w:hAnsi="inherit" w:cs="Times New Roman"/>
          <w:color w:val="333333"/>
          <w:sz w:val="24"/>
          <w:szCs w:val="24"/>
        </w:rPr>
        <w:t xml:space="preserve">. Listen, for example, to the way the opening words of this week’s </w:t>
      </w:r>
      <w:proofErr w:type="spellStart"/>
      <w:r w:rsidRPr="00AA0B79">
        <w:rPr>
          <w:rFonts w:ascii="inherit" w:eastAsia="Times New Roman" w:hAnsi="inherit" w:cs="Times New Roman"/>
          <w:color w:val="333333"/>
          <w:sz w:val="24"/>
          <w:szCs w:val="24"/>
        </w:rPr>
        <w:t>parsha</w:t>
      </w:r>
      <w:proofErr w:type="spellEnd"/>
      <w:r w:rsidRPr="00AA0B79">
        <w:rPr>
          <w:rFonts w:ascii="inherit" w:eastAsia="Times New Roman" w:hAnsi="inherit" w:cs="Times New Roman"/>
          <w:color w:val="333333"/>
          <w:sz w:val="24"/>
          <w:szCs w:val="24"/>
        </w:rPr>
        <w:t xml:space="preserve"> have been translated into English:</w:t>
      </w:r>
    </w:p>
    <w:p w:rsidR="00AA0B79" w:rsidRPr="00EB6F4A" w:rsidRDefault="00EB6F4A" w:rsidP="00EB6F4A">
      <w:pPr>
        <w:spacing w:after="0" w:line="360" w:lineRule="atLeast"/>
        <w:textAlignment w:val="baseline"/>
        <w:rPr>
          <w:rFonts w:ascii="inherit" w:eastAsia="Times New Roman" w:hAnsi="inherit" w:cs="Times New Roman"/>
          <w:i/>
          <w:iCs/>
          <w:color w:val="333333"/>
          <w:sz w:val="24"/>
          <w:szCs w:val="24"/>
        </w:rPr>
      </w:pPr>
      <w:proofErr w:type="spellStart"/>
      <w:proofErr w:type="gramStart"/>
      <w:r>
        <w:rPr>
          <w:rFonts w:ascii="inherit" w:eastAsia="Times New Roman" w:hAnsi="inherit" w:cs="Times New Roman"/>
          <w:i/>
          <w:iCs/>
          <w:color w:val="333333"/>
          <w:sz w:val="24"/>
          <w:szCs w:val="24"/>
        </w:rPr>
        <w:t>a.</w:t>
      </w:r>
      <w:r w:rsidR="00AA0B79" w:rsidRPr="00EB6F4A">
        <w:rPr>
          <w:rFonts w:ascii="inherit" w:eastAsia="Times New Roman" w:hAnsi="inherit" w:cs="Times New Roman"/>
          <w:i/>
          <w:iCs/>
          <w:color w:val="333333"/>
          <w:sz w:val="24"/>
          <w:szCs w:val="24"/>
        </w:rPr>
        <w:t>If</w:t>
      </w:r>
      <w:proofErr w:type="spellEnd"/>
      <w:proofErr w:type="gramEnd"/>
      <w:r w:rsidR="00AA0B79" w:rsidRPr="00EB6F4A">
        <w:rPr>
          <w:rFonts w:ascii="inherit" w:eastAsia="Times New Roman" w:hAnsi="inherit" w:cs="Times New Roman"/>
          <w:i/>
          <w:iCs/>
          <w:color w:val="333333"/>
          <w:sz w:val="24"/>
          <w:szCs w:val="24"/>
        </w:rPr>
        <w:t xml:space="preserve"> you </w:t>
      </w:r>
      <w:r w:rsidR="00AA0B79" w:rsidRPr="00EB6F4A">
        <w:rPr>
          <w:rFonts w:ascii="inherit" w:eastAsia="Times New Roman" w:hAnsi="inherit" w:cs="Times New Roman"/>
          <w:i/>
          <w:iCs/>
          <w:color w:val="333333"/>
          <w:sz w:val="24"/>
          <w:szCs w:val="24"/>
          <w:bdr w:val="none" w:sz="0" w:space="0" w:color="auto" w:frame="1"/>
        </w:rPr>
        <w:t>hearken</w:t>
      </w:r>
      <w:r w:rsidR="00AA0B79" w:rsidRPr="00EB6F4A">
        <w:rPr>
          <w:rFonts w:ascii="inherit" w:eastAsia="Times New Roman" w:hAnsi="inherit" w:cs="Times New Roman"/>
          <w:i/>
          <w:iCs/>
          <w:color w:val="333333"/>
          <w:sz w:val="24"/>
          <w:szCs w:val="24"/>
        </w:rPr>
        <w:t> to these precepts …</w:t>
      </w:r>
      <w:r w:rsidRPr="00EB6F4A">
        <w:rPr>
          <w:rFonts w:ascii="inherit" w:eastAsia="Times New Roman" w:hAnsi="inherit" w:cs="Times New Roman"/>
          <w:i/>
          <w:iCs/>
          <w:color w:val="333333"/>
          <w:sz w:val="24"/>
          <w:szCs w:val="24"/>
        </w:rPr>
        <w:t xml:space="preserve">b. </w:t>
      </w:r>
      <w:r w:rsidR="00AA0B79" w:rsidRPr="00EB6F4A">
        <w:rPr>
          <w:rFonts w:ascii="inherit" w:eastAsia="Times New Roman" w:hAnsi="inherit" w:cs="Times New Roman"/>
          <w:i/>
          <w:iCs/>
          <w:color w:val="333333"/>
          <w:sz w:val="24"/>
          <w:szCs w:val="24"/>
        </w:rPr>
        <w:t>If you </w:t>
      </w:r>
      <w:r w:rsidR="00AA0B79" w:rsidRPr="00EB6F4A">
        <w:rPr>
          <w:rFonts w:ascii="inherit" w:eastAsia="Times New Roman" w:hAnsi="inherit" w:cs="Times New Roman"/>
          <w:i/>
          <w:iCs/>
          <w:color w:val="333333"/>
          <w:sz w:val="24"/>
          <w:szCs w:val="24"/>
          <w:bdr w:val="none" w:sz="0" w:space="0" w:color="auto" w:frame="1"/>
        </w:rPr>
        <w:t>completely obey</w:t>
      </w:r>
      <w:r w:rsidR="00AA0B79" w:rsidRPr="00EB6F4A">
        <w:rPr>
          <w:rFonts w:ascii="inherit" w:eastAsia="Times New Roman" w:hAnsi="inherit" w:cs="Times New Roman"/>
          <w:i/>
          <w:iCs/>
          <w:color w:val="333333"/>
          <w:sz w:val="24"/>
          <w:szCs w:val="24"/>
        </w:rPr>
        <w:t> these laws …</w:t>
      </w:r>
      <w:r w:rsidRPr="00EB6F4A">
        <w:rPr>
          <w:rFonts w:ascii="inherit" w:eastAsia="Times New Roman" w:hAnsi="inherit" w:cs="Times New Roman"/>
          <w:i/>
          <w:iCs/>
          <w:color w:val="333333"/>
          <w:sz w:val="24"/>
          <w:szCs w:val="24"/>
        </w:rPr>
        <w:t xml:space="preserve">c. </w:t>
      </w:r>
      <w:proofErr w:type="gramStart"/>
      <w:r w:rsidR="00AA0B79" w:rsidRPr="00EB6F4A">
        <w:rPr>
          <w:rFonts w:ascii="inherit" w:eastAsia="Times New Roman" w:hAnsi="inherit" w:cs="Times New Roman"/>
          <w:i/>
          <w:iCs/>
          <w:color w:val="333333"/>
          <w:sz w:val="24"/>
          <w:szCs w:val="24"/>
        </w:rPr>
        <w:t>If you </w:t>
      </w:r>
      <w:r w:rsidR="00AA0B79" w:rsidRPr="00EB6F4A">
        <w:rPr>
          <w:rFonts w:ascii="inherit" w:eastAsia="Times New Roman" w:hAnsi="inherit" w:cs="Times New Roman"/>
          <w:i/>
          <w:iCs/>
          <w:color w:val="333333"/>
          <w:sz w:val="24"/>
          <w:szCs w:val="24"/>
          <w:bdr w:val="none" w:sz="0" w:space="0" w:color="auto" w:frame="1"/>
        </w:rPr>
        <w:t>pay attention to</w:t>
      </w:r>
      <w:r w:rsidR="00AA0B79" w:rsidRPr="00EB6F4A">
        <w:rPr>
          <w:rFonts w:ascii="inherit" w:eastAsia="Times New Roman" w:hAnsi="inherit" w:cs="Times New Roman"/>
          <w:i/>
          <w:iCs/>
          <w:color w:val="333333"/>
          <w:sz w:val="24"/>
          <w:szCs w:val="24"/>
        </w:rPr>
        <w:t> these laws …</w:t>
      </w:r>
      <w:r w:rsidRPr="00EB6F4A">
        <w:rPr>
          <w:rFonts w:ascii="inherit" w:eastAsia="Times New Roman" w:hAnsi="inherit" w:cs="Times New Roman"/>
          <w:i/>
          <w:iCs/>
          <w:color w:val="333333"/>
          <w:sz w:val="24"/>
          <w:szCs w:val="24"/>
        </w:rPr>
        <w:t>d.</w:t>
      </w:r>
      <w:proofErr w:type="gramEnd"/>
      <w:r w:rsidRPr="00EB6F4A">
        <w:rPr>
          <w:rFonts w:ascii="inherit" w:eastAsia="Times New Roman" w:hAnsi="inherit" w:cs="Times New Roman"/>
          <w:i/>
          <w:iCs/>
          <w:color w:val="333333"/>
          <w:sz w:val="24"/>
          <w:szCs w:val="24"/>
        </w:rPr>
        <w:t xml:space="preserve"> </w:t>
      </w:r>
      <w:proofErr w:type="gramStart"/>
      <w:r w:rsidR="00AA0B79" w:rsidRPr="00EB6F4A">
        <w:rPr>
          <w:rFonts w:ascii="inherit" w:eastAsia="Times New Roman" w:hAnsi="inherit" w:cs="Times New Roman"/>
          <w:i/>
          <w:iCs/>
          <w:color w:val="333333"/>
          <w:sz w:val="24"/>
          <w:szCs w:val="24"/>
        </w:rPr>
        <w:t>If you </w:t>
      </w:r>
      <w:r w:rsidR="00AA0B79" w:rsidRPr="00EB6F4A">
        <w:rPr>
          <w:rFonts w:ascii="inherit" w:eastAsia="Times New Roman" w:hAnsi="inherit" w:cs="Times New Roman"/>
          <w:i/>
          <w:iCs/>
          <w:color w:val="333333"/>
          <w:sz w:val="24"/>
          <w:szCs w:val="24"/>
          <w:bdr w:val="none" w:sz="0" w:space="0" w:color="auto" w:frame="1"/>
        </w:rPr>
        <w:t>heed</w:t>
      </w:r>
      <w:r w:rsidR="00AA0B79" w:rsidRPr="00EB6F4A">
        <w:rPr>
          <w:rFonts w:ascii="inherit" w:eastAsia="Times New Roman" w:hAnsi="inherit" w:cs="Times New Roman"/>
          <w:i/>
          <w:iCs/>
          <w:color w:val="333333"/>
          <w:sz w:val="24"/>
          <w:szCs w:val="24"/>
        </w:rPr>
        <w:t> these ordinances …</w:t>
      </w:r>
      <w:r w:rsidRPr="00EB6F4A">
        <w:rPr>
          <w:rFonts w:ascii="inherit" w:eastAsia="Times New Roman" w:hAnsi="inherit" w:cs="Times New Roman"/>
          <w:i/>
          <w:iCs/>
          <w:color w:val="333333"/>
          <w:sz w:val="24"/>
          <w:szCs w:val="24"/>
        </w:rPr>
        <w:t>e.</w:t>
      </w:r>
      <w:proofErr w:type="gramEnd"/>
      <w:r w:rsidRPr="00EB6F4A">
        <w:rPr>
          <w:rFonts w:ascii="inherit" w:eastAsia="Times New Roman" w:hAnsi="inherit" w:cs="Times New Roman"/>
          <w:i/>
          <w:iCs/>
          <w:color w:val="333333"/>
          <w:sz w:val="24"/>
          <w:szCs w:val="24"/>
        </w:rPr>
        <w:t xml:space="preserve"> </w:t>
      </w:r>
      <w:proofErr w:type="gramStart"/>
      <w:r w:rsidR="00AA0B79" w:rsidRPr="00EB6F4A">
        <w:rPr>
          <w:rFonts w:ascii="inherit" w:eastAsia="Times New Roman" w:hAnsi="inherit" w:cs="Times New Roman"/>
          <w:i/>
          <w:iCs/>
          <w:color w:val="333333"/>
          <w:sz w:val="24"/>
          <w:szCs w:val="24"/>
        </w:rPr>
        <w:t>Because ye </w:t>
      </w:r>
      <w:r w:rsidR="00AA0B79" w:rsidRPr="00EB6F4A">
        <w:rPr>
          <w:rFonts w:ascii="inherit" w:eastAsia="Times New Roman" w:hAnsi="inherit" w:cs="Times New Roman"/>
          <w:i/>
          <w:iCs/>
          <w:color w:val="333333"/>
          <w:sz w:val="24"/>
          <w:szCs w:val="24"/>
          <w:bdr w:val="none" w:sz="0" w:space="0" w:color="auto" w:frame="1"/>
        </w:rPr>
        <w:t>hear</w:t>
      </w:r>
      <w:r w:rsidR="00AA0B79" w:rsidRPr="00EB6F4A">
        <w:rPr>
          <w:rFonts w:ascii="inherit" w:eastAsia="Times New Roman" w:hAnsi="inherit" w:cs="Times New Roman"/>
          <w:i/>
          <w:iCs/>
          <w:color w:val="333333"/>
          <w:sz w:val="24"/>
          <w:szCs w:val="24"/>
        </w:rPr>
        <w:t> these judgments …</w:t>
      </w:r>
      <w:proofErr w:type="gramEnd"/>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There is no single English word that means to hear, to listen, to heed, to pay attention to, and to obey. </w:t>
      </w:r>
      <w:proofErr w:type="spellStart"/>
      <w:r w:rsidRPr="00AA0B79">
        <w:rPr>
          <w:rFonts w:ascii="inherit" w:eastAsia="Times New Roman" w:hAnsi="inherit" w:cs="Times New Roman"/>
          <w:i/>
          <w:iCs/>
          <w:color w:val="333333"/>
          <w:sz w:val="24"/>
          <w:szCs w:val="24"/>
          <w:bdr w:val="none" w:sz="0" w:space="0" w:color="auto" w:frame="1"/>
        </w:rPr>
        <w:t>Sh</w:t>
      </w:r>
      <w:proofErr w:type="spellEnd"/>
      <w:r w:rsidRPr="00AA0B79">
        <w:rPr>
          <w:rFonts w:ascii="inherit" w:eastAsia="Times New Roman" w:hAnsi="inherit" w:cs="Times New Roman"/>
          <w:i/>
          <w:iCs/>
          <w:color w:val="333333"/>
          <w:sz w:val="24"/>
          <w:szCs w:val="24"/>
          <w:bdr w:val="none" w:sz="0" w:space="0" w:color="auto" w:frame="1"/>
        </w:rPr>
        <w:t>-m-a</w:t>
      </w:r>
      <w:r w:rsidRPr="00AA0B79">
        <w:rPr>
          <w:rFonts w:ascii="inherit" w:eastAsia="Times New Roman" w:hAnsi="inherit" w:cs="Times New Roman"/>
          <w:color w:val="333333"/>
          <w:sz w:val="24"/>
          <w:szCs w:val="24"/>
        </w:rPr>
        <w:t> also means “to understand,” as in the story of the tower of Babel, when God says, Come, let us go down and confuse their language so they will not understand [</w:t>
      </w:r>
      <w:proofErr w:type="spellStart"/>
      <w:r w:rsidRPr="00AA0B79">
        <w:rPr>
          <w:rFonts w:ascii="inherit" w:eastAsia="Times New Roman" w:hAnsi="inherit" w:cs="Times New Roman"/>
          <w:i/>
          <w:iCs/>
          <w:color w:val="333333"/>
          <w:sz w:val="24"/>
          <w:szCs w:val="24"/>
          <w:bdr w:val="none" w:sz="0" w:space="0" w:color="auto" w:frame="1"/>
        </w:rPr>
        <w:t>yishme’u</w:t>
      </w:r>
      <w:proofErr w:type="spellEnd"/>
      <w:r w:rsidRPr="00AA0B79">
        <w:rPr>
          <w:rFonts w:ascii="inherit" w:eastAsia="Times New Roman" w:hAnsi="inherit" w:cs="Times New Roman"/>
          <w:color w:val="333333"/>
          <w:sz w:val="24"/>
          <w:szCs w:val="24"/>
        </w:rPr>
        <w:t>] each other” (Gen. 11: 7).</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As I have argued elsewhere, one of the most striking facts about the Torah is that, although it contains 613 commands, it does not contain a word that means “to obey.” When such a word was needed in </w:t>
      </w:r>
      <w:proofErr w:type="gramStart"/>
      <w:r w:rsidRPr="00AA0B79">
        <w:rPr>
          <w:rFonts w:ascii="inherit" w:eastAsia="Times New Roman" w:hAnsi="inherit" w:cs="Times New Roman"/>
          <w:color w:val="333333"/>
          <w:sz w:val="24"/>
          <w:szCs w:val="24"/>
        </w:rPr>
        <w:t>modern</w:t>
      </w:r>
      <w:proofErr w:type="gramEnd"/>
      <w:r w:rsidRPr="00AA0B79">
        <w:rPr>
          <w:rFonts w:ascii="inherit" w:eastAsia="Times New Roman" w:hAnsi="inherit" w:cs="Times New Roman"/>
          <w:color w:val="333333"/>
          <w:sz w:val="24"/>
          <w:szCs w:val="24"/>
        </w:rPr>
        <w:t xml:space="preserve"> Hebrew, the verb </w:t>
      </w:r>
      <w:r w:rsidRPr="00AA0B79">
        <w:rPr>
          <w:rFonts w:ascii="inherit" w:eastAsia="Times New Roman" w:hAnsi="inherit" w:cs="Times New Roman"/>
          <w:i/>
          <w:iCs/>
          <w:color w:val="333333"/>
          <w:sz w:val="24"/>
          <w:szCs w:val="24"/>
          <w:bdr w:val="none" w:sz="0" w:space="0" w:color="auto" w:frame="1"/>
        </w:rPr>
        <w:t>le-</w:t>
      </w:r>
      <w:proofErr w:type="spellStart"/>
      <w:r w:rsidRPr="00AA0B79">
        <w:rPr>
          <w:rFonts w:ascii="inherit" w:eastAsia="Times New Roman" w:hAnsi="inherit" w:cs="Times New Roman"/>
          <w:i/>
          <w:iCs/>
          <w:color w:val="333333"/>
          <w:sz w:val="24"/>
          <w:szCs w:val="24"/>
          <w:bdr w:val="none" w:sz="0" w:space="0" w:color="auto" w:frame="1"/>
        </w:rPr>
        <w:t>tzayet</w:t>
      </w:r>
      <w:proofErr w:type="spellEnd"/>
      <w:r w:rsidRPr="00AA0B79">
        <w:rPr>
          <w:rFonts w:ascii="inherit" w:eastAsia="Times New Roman" w:hAnsi="inherit" w:cs="Times New Roman"/>
          <w:color w:val="333333"/>
          <w:sz w:val="24"/>
          <w:szCs w:val="24"/>
        </w:rPr>
        <w:t> was borrowed from Aramaic. The verb used by the Torah in place of “to obey” is </w:t>
      </w:r>
      <w:proofErr w:type="spellStart"/>
      <w:r w:rsidRPr="00AA0B79">
        <w:rPr>
          <w:rFonts w:ascii="inherit" w:eastAsia="Times New Roman" w:hAnsi="inherit" w:cs="Times New Roman"/>
          <w:i/>
          <w:iCs/>
          <w:color w:val="333333"/>
          <w:sz w:val="24"/>
          <w:szCs w:val="24"/>
          <w:bdr w:val="none" w:sz="0" w:space="0" w:color="auto" w:frame="1"/>
        </w:rPr>
        <w:t>sh</w:t>
      </w:r>
      <w:proofErr w:type="spellEnd"/>
      <w:r w:rsidRPr="00AA0B79">
        <w:rPr>
          <w:rFonts w:ascii="inherit" w:eastAsia="Times New Roman" w:hAnsi="inherit" w:cs="Times New Roman"/>
          <w:i/>
          <w:iCs/>
          <w:color w:val="333333"/>
          <w:sz w:val="24"/>
          <w:szCs w:val="24"/>
          <w:bdr w:val="none" w:sz="0" w:space="0" w:color="auto" w:frame="1"/>
        </w:rPr>
        <w:t>-m-a</w:t>
      </w:r>
      <w:r w:rsidRPr="00AA0B79">
        <w:rPr>
          <w:rFonts w:ascii="inherit" w:eastAsia="Times New Roman" w:hAnsi="inherit" w:cs="Times New Roman"/>
          <w:color w:val="333333"/>
          <w:sz w:val="24"/>
          <w:szCs w:val="24"/>
        </w:rPr>
        <w:t>. This is of the highest possible significance. It means that </w:t>
      </w:r>
      <w:r w:rsidRPr="00AA0B79">
        <w:rPr>
          <w:rFonts w:ascii="inherit" w:eastAsia="Times New Roman" w:hAnsi="inherit" w:cs="Times New Roman"/>
          <w:i/>
          <w:iCs/>
          <w:color w:val="333333"/>
          <w:sz w:val="24"/>
          <w:szCs w:val="24"/>
          <w:bdr w:val="none" w:sz="0" w:space="0" w:color="auto" w:frame="1"/>
        </w:rPr>
        <w:t>blind obedience is not a virtue in Judaism</w:t>
      </w:r>
      <w:r w:rsidRPr="00AA0B79">
        <w:rPr>
          <w:rFonts w:ascii="inherit" w:eastAsia="Times New Roman" w:hAnsi="inherit" w:cs="Times New Roman"/>
          <w:color w:val="333333"/>
          <w:sz w:val="24"/>
          <w:szCs w:val="24"/>
        </w:rPr>
        <w:t xml:space="preserve">. God wants us to understand the laws He </w:t>
      </w:r>
      <w:bookmarkStart w:id="0" w:name="_GoBack"/>
      <w:bookmarkEnd w:id="0"/>
      <w:r w:rsidRPr="00AA0B79">
        <w:rPr>
          <w:rFonts w:ascii="inherit" w:eastAsia="Times New Roman" w:hAnsi="inherit" w:cs="Times New Roman"/>
          <w:color w:val="333333"/>
          <w:sz w:val="24"/>
          <w:szCs w:val="24"/>
        </w:rPr>
        <w:t>has commanded us. He wants us to reflect on why this law, not that. He wants us to listen, to reflect, to seek to understand,</w:t>
      </w:r>
      <w:r w:rsidR="00EB6F4A">
        <w:rPr>
          <w:rFonts w:ascii="inherit" w:eastAsia="Times New Roman" w:hAnsi="inherit" w:cs="Times New Roman"/>
          <w:color w:val="333333"/>
          <w:sz w:val="24"/>
          <w:szCs w:val="24"/>
        </w:rPr>
        <w:t xml:space="preserve"> to internaliz</w:t>
      </w:r>
      <w:r w:rsidRPr="00AA0B79">
        <w:rPr>
          <w:rFonts w:ascii="inherit" w:eastAsia="Times New Roman" w:hAnsi="inherit" w:cs="Times New Roman"/>
          <w:color w:val="333333"/>
          <w:sz w:val="24"/>
          <w:szCs w:val="24"/>
        </w:rPr>
        <w:t>e and to respond. He wants us to become </w:t>
      </w:r>
      <w:r w:rsidRPr="00AA0B79">
        <w:rPr>
          <w:rFonts w:ascii="inherit" w:eastAsia="Times New Roman" w:hAnsi="inherit" w:cs="Times New Roman"/>
          <w:i/>
          <w:iCs/>
          <w:color w:val="333333"/>
          <w:sz w:val="24"/>
          <w:szCs w:val="24"/>
          <w:bdr w:val="none" w:sz="0" w:space="0" w:color="auto" w:frame="1"/>
        </w:rPr>
        <w:t>a listening people</w:t>
      </w:r>
      <w:r w:rsidRPr="00AA0B79">
        <w:rPr>
          <w:rFonts w:ascii="inherit" w:eastAsia="Times New Roman" w:hAnsi="inherit" w:cs="Times New Roman"/>
          <w:color w:val="333333"/>
          <w:sz w:val="24"/>
          <w:szCs w:val="24"/>
        </w:rPr>
        <w:t>.</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Ancient Greece was a visual culture, a culture of art, architecture, theatre and spectacle. For the Greeks generally, and Plato specifically, knowing was a form of </w:t>
      </w:r>
      <w:r w:rsidRPr="00AA0B79">
        <w:rPr>
          <w:rFonts w:ascii="inherit" w:eastAsia="Times New Roman" w:hAnsi="inherit" w:cs="Times New Roman"/>
          <w:i/>
          <w:iCs/>
          <w:color w:val="333333"/>
          <w:sz w:val="24"/>
          <w:szCs w:val="24"/>
          <w:bdr w:val="none" w:sz="0" w:space="0" w:color="auto" w:frame="1"/>
        </w:rPr>
        <w:t>seeing.</w:t>
      </w:r>
      <w:r w:rsidRPr="00AA0B79">
        <w:rPr>
          <w:rFonts w:ascii="inherit" w:eastAsia="Times New Roman" w:hAnsi="inherit" w:cs="Times New Roman"/>
          <w:color w:val="333333"/>
          <w:sz w:val="24"/>
          <w:szCs w:val="24"/>
        </w:rPr>
        <w:t> Judaism, as Freud pointed out in </w:t>
      </w:r>
      <w:r w:rsidRPr="00AA0B79">
        <w:rPr>
          <w:rFonts w:ascii="inherit" w:eastAsia="Times New Roman" w:hAnsi="inherit" w:cs="Times New Roman"/>
          <w:i/>
          <w:iCs/>
          <w:color w:val="333333"/>
          <w:sz w:val="24"/>
          <w:szCs w:val="24"/>
          <w:bdr w:val="none" w:sz="0" w:space="0" w:color="auto" w:frame="1"/>
        </w:rPr>
        <w:t>Moses and Monotheism</w:t>
      </w:r>
      <w:r w:rsidRPr="00AA0B79">
        <w:rPr>
          <w:rFonts w:ascii="inherit" w:eastAsia="Times New Roman" w:hAnsi="inherit" w:cs="Times New Roman"/>
          <w:color w:val="333333"/>
          <w:sz w:val="24"/>
          <w:szCs w:val="24"/>
        </w:rPr>
        <w:t>, is a non-visual culture. We worship a God who cannot be seen; and making sacred images, icons, is absolutely forbidden. In Judaism we do not see God; we hear God. Knowing is a form of </w:t>
      </w:r>
      <w:r w:rsidRPr="00AA0B79">
        <w:rPr>
          <w:rFonts w:ascii="inherit" w:eastAsia="Times New Roman" w:hAnsi="inherit" w:cs="Times New Roman"/>
          <w:i/>
          <w:iCs/>
          <w:color w:val="333333"/>
          <w:sz w:val="24"/>
          <w:szCs w:val="24"/>
          <w:bdr w:val="none" w:sz="0" w:space="0" w:color="auto" w:frame="1"/>
        </w:rPr>
        <w:t>listening</w:t>
      </w:r>
      <w:r w:rsidRPr="00AA0B79">
        <w:rPr>
          <w:rFonts w:ascii="inherit" w:eastAsia="Times New Roman" w:hAnsi="inherit" w:cs="Times New Roman"/>
          <w:color w:val="333333"/>
          <w:sz w:val="24"/>
          <w:szCs w:val="24"/>
        </w:rPr>
        <w:t>. Ironically, Freud himself, deeply ambivalent though he was about Judaism, in psycho-analysis invented the </w:t>
      </w:r>
      <w:r w:rsidRPr="00AA0B79">
        <w:rPr>
          <w:rFonts w:ascii="inherit" w:eastAsia="Times New Roman" w:hAnsi="inherit" w:cs="Times New Roman"/>
          <w:i/>
          <w:iCs/>
          <w:color w:val="333333"/>
          <w:sz w:val="24"/>
          <w:szCs w:val="24"/>
          <w:bdr w:val="none" w:sz="0" w:space="0" w:color="auto" w:frame="1"/>
        </w:rPr>
        <w:t>listening cure</w:t>
      </w:r>
      <w:r w:rsidRPr="00AA0B79">
        <w:rPr>
          <w:rFonts w:ascii="inherit" w:eastAsia="Times New Roman" w:hAnsi="inherit" w:cs="Times New Roman"/>
          <w:color w:val="333333"/>
          <w:sz w:val="24"/>
          <w:szCs w:val="24"/>
        </w:rPr>
        <w:t>: listening as therapy</w:t>
      </w:r>
      <w:proofErr w:type="gramStart"/>
      <w:r w:rsidRPr="00AA0B79">
        <w:rPr>
          <w:rFonts w:ascii="inherit" w:eastAsia="Times New Roman" w:hAnsi="inherit" w:cs="Times New Roman"/>
          <w:color w:val="333333"/>
          <w:sz w:val="24"/>
          <w:szCs w:val="24"/>
        </w:rPr>
        <w:t>.[</w:t>
      </w:r>
      <w:proofErr w:type="gramEnd"/>
      <w:r w:rsidRPr="00AA0B79">
        <w:rPr>
          <w:rFonts w:ascii="inherit" w:eastAsia="Times New Roman" w:hAnsi="inherit" w:cs="Times New Roman"/>
          <w:color w:val="333333"/>
          <w:sz w:val="24"/>
          <w:szCs w:val="24"/>
        </w:rPr>
        <w:t>2]</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It follows that in Judaism listening is a deeply spiritual act. To listen to God is to be open to God. That is what Moses is saying throughout </w:t>
      </w:r>
      <w:proofErr w:type="spellStart"/>
      <w:r w:rsidRPr="00AA0B79">
        <w:rPr>
          <w:rFonts w:ascii="inherit" w:eastAsia="Times New Roman" w:hAnsi="inherit" w:cs="Times New Roman"/>
          <w:color w:val="333333"/>
          <w:sz w:val="24"/>
          <w:szCs w:val="24"/>
        </w:rPr>
        <w:t>Devarim</w:t>
      </w:r>
      <w:proofErr w:type="spellEnd"/>
      <w:r w:rsidRPr="00AA0B79">
        <w:rPr>
          <w:rFonts w:ascii="inherit" w:eastAsia="Times New Roman" w:hAnsi="inherit" w:cs="Times New Roman"/>
          <w:color w:val="333333"/>
          <w:sz w:val="24"/>
          <w:szCs w:val="24"/>
        </w:rPr>
        <w:t>: “If only you would listen.” So it is with leadership – indeed with all forms of interpersonal relationship. Often the greatest gift we can give someone is to listen to them.</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Viktor </w:t>
      </w:r>
      <w:proofErr w:type="spellStart"/>
      <w:r w:rsidRPr="00AA0B79">
        <w:rPr>
          <w:rFonts w:ascii="inherit" w:eastAsia="Times New Roman" w:hAnsi="inherit" w:cs="Times New Roman"/>
          <w:color w:val="333333"/>
          <w:sz w:val="24"/>
          <w:szCs w:val="24"/>
        </w:rPr>
        <w:t>Frankl</w:t>
      </w:r>
      <w:proofErr w:type="spellEnd"/>
      <w:r w:rsidRPr="00AA0B79">
        <w:rPr>
          <w:rFonts w:ascii="inherit" w:eastAsia="Times New Roman" w:hAnsi="inherit" w:cs="Times New Roman"/>
          <w:color w:val="333333"/>
          <w:sz w:val="24"/>
          <w:szCs w:val="24"/>
        </w:rPr>
        <w:t xml:space="preserve">, who survived Auschwitz and went on to create a new form of psychotherapy based on “man’s search for meaning,” once told the story of a patient of his who </w:t>
      </w:r>
      <w:r w:rsidRPr="00AA0B79">
        <w:rPr>
          <w:rFonts w:ascii="inherit" w:eastAsia="Times New Roman" w:hAnsi="inherit" w:cs="Times New Roman"/>
          <w:color w:val="333333"/>
          <w:sz w:val="24"/>
          <w:szCs w:val="24"/>
        </w:rPr>
        <w:lastRenderedPageBreak/>
        <w:t>phoned him in the middle of the night to tell him, calmly, that she was about to commit suicide. He kept her on the phone for two hours, giving her every conceivable reason to live. Eventually she said that she had changed her mind and would not end her life. When he next saw the woman he asked her which of his many reasons had persuaded her to change her mind. “None,” she replied. “Why then did you decide not to commit suicide?” She replied that the fact that someone was prepared to listen to her for two hours in the middle of the night convinced her that life was worth living after all</w:t>
      </w:r>
      <w:proofErr w:type="gramStart"/>
      <w:r w:rsidRPr="00AA0B79">
        <w:rPr>
          <w:rFonts w:ascii="inherit" w:eastAsia="Times New Roman" w:hAnsi="inherit" w:cs="Times New Roman"/>
          <w:color w:val="333333"/>
          <w:sz w:val="24"/>
          <w:szCs w:val="24"/>
        </w:rPr>
        <w:t>.[</w:t>
      </w:r>
      <w:proofErr w:type="gramEnd"/>
      <w:r w:rsidRPr="00AA0B79">
        <w:rPr>
          <w:rFonts w:ascii="inherit" w:eastAsia="Times New Roman" w:hAnsi="inherit" w:cs="Times New Roman"/>
          <w:color w:val="333333"/>
          <w:sz w:val="24"/>
          <w:szCs w:val="24"/>
        </w:rPr>
        <w:t>3]</w:t>
      </w:r>
      <w:r w:rsidR="00EB6F4A">
        <w:rPr>
          <w:rFonts w:ascii="inherit" w:eastAsia="Times New Roman" w:hAnsi="inherit" w:cs="Times New Roman"/>
          <w:color w:val="333333"/>
          <w:sz w:val="24"/>
          <w:szCs w:val="24"/>
        </w:rPr>
        <w:t>…</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The deep truth </w:t>
      </w:r>
      <w:r w:rsidR="00EB6F4A">
        <w:rPr>
          <w:rFonts w:ascii="inherit" w:eastAsia="Times New Roman" w:hAnsi="inherit" w:cs="Times New Roman"/>
          <w:color w:val="333333"/>
          <w:sz w:val="24"/>
          <w:szCs w:val="24"/>
        </w:rPr>
        <w:t>…</w:t>
      </w:r>
      <w:r w:rsidRPr="00AA0B79">
        <w:rPr>
          <w:rFonts w:ascii="inherit" w:eastAsia="Times New Roman" w:hAnsi="inherit" w:cs="Times New Roman"/>
          <w:color w:val="333333"/>
          <w:sz w:val="24"/>
          <w:szCs w:val="24"/>
        </w:rPr>
        <w:t xml:space="preserve"> is that listening is the key virtue of the religious life. That is what Moses was saying throughout </w:t>
      </w:r>
      <w:proofErr w:type="spellStart"/>
      <w:r w:rsidRPr="00AA0B79">
        <w:rPr>
          <w:rFonts w:ascii="inherit" w:eastAsia="Times New Roman" w:hAnsi="inherit" w:cs="Times New Roman"/>
          <w:color w:val="333333"/>
          <w:sz w:val="24"/>
          <w:szCs w:val="24"/>
        </w:rPr>
        <w:t>Devarim</w:t>
      </w:r>
      <w:proofErr w:type="spellEnd"/>
      <w:r w:rsidRPr="00AA0B79">
        <w:rPr>
          <w:rFonts w:ascii="inherit" w:eastAsia="Times New Roman" w:hAnsi="inherit" w:cs="Times New Roman"/>
          <w:color w:val="333333"/>
          <w:sz w:val="24"/>
          <w:szCs w:val="24"/>
        </w:rPr>
        <w:t xml:space="preserve">. If we want God to listen to us we have to be prepared to listen to Him. And if we learn to listen to Him, then we eventually learn to listen to our fellow humans: the silent cry of the lonely, the poor, the weak, the vulnerable, </w:t>
      </w:r>
      <w:proofErr w:type="gramStart"/>
      <w:r w:rsidRPr="00AA0B79">
        <w:rPr>
          <w:rFonts w:ascii="inherit" w:eastAsia="Times New Roman" w:hAnsi="inherit" w:cs="Times New Roman"/>
          <w:color w:val="333333"/>
          <w:sz w:val="24"/>
          <w:szCs w:val="24"/>
        </w:rPr>
        <w:t>the</w:t>
      </w:r>
      <w:proofErr w:type="gramEnd"/>
      <w:r w:rsidRPr="00AA0B79">
        <w:rPr>
          <w:rFonts w:ascii="inherit" w:eastAsia="Times New Roman" w:hAnsi="inherit" w:cs="Times New Roman"/>
          <w:color w:val="333333"/>
          <w:sz w:val="24"/>
          <w:szCs w:val="24"/>
        </w:rPr>
        <w:t xml:space="preserve"> people in existential pain.</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When God appeared to King Solomon in a dream and asked him what he would like to be given, Solomon replied: </w:t>
      </w:r>
      <w:r w:rsidRPr="00AA0B79">
        <w:rPr>
          <w:rFonts w:ascii="inherit" w:eastAsia="Times New Roman" w:hAnsi="inherit" w:cs="Times New Roman"/>
          <w:i/>
          <w:iCs/>
          <w:color w:val="333333"/>
          <w:sz w:val="24"/>
          <w:szCs w:val="24"/>
          <w:bdr w:val="none" w:sz="0" w:space="0" w:color="auto" w:frame="1"/>
        </w:rPr>
        <w:t xml:space="preserve">lev </w:t>
      </w:r>
      <w:proofErr w:type="spellStart"/>
      <w:r w:rsidRPr="00AA0B79">
        <w:rPr>
          <w:rFonts w:ascii="inherit" w:eastAsia="Times New Roman" w:hAnsi="inherit" w:cs="Times New Roman"/>
          <w:i/>
          <w:iCs/>
          <w:color w:val="333333"/>
          <w:sz w:val="24"/>
          <w:szCs w:val="24"/>
          <w:bdr w:val="none" w:sz="0" w:space="0" w:color="auto" w:frame="1"/>
        </w:rPr>
        <w:t>shome’a</w:t>
      </w:r>
      <w:proofErr w:type="spellEnd"/>
      <w:r w:rsidRPr="00AA0B79">
        <w:rPr>
          <w:rFonts w:ascii="inherit" w:eastAsia="Times New Roman" w:hAnsi="inherit" w:cs="Times New Roman"/>
          <w:color w:val="333333"/>
          <w:sz w:val="24"/>
          <w:szCs w:val="24"/>
        </w:rPr>
        <w:t>, literally “a listening heart” to judge the people (1 Kings 3: 9). The choice of words is significant. Solomon’s wisdom lay, at least in part, in his ability to listen, to hear the emotion behind the words, to sense what was being left unsaid as well as what was said. It is common to find leaders who speak, very rare to find leaders who listen. But listening often makes the difference.</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Listening matters in a moral environment as insistent on human dignity as is Judaism. The very act of listening is a form of respect. The royal family in Britain is known always to arrive on time and depart on time. I will never forget the occasion </w:t>
      </w:r>
      <w:r w:rsidRPr="00AA0B79">
        <w:rPr>
          <w:rFonts w:ascii="inherit" w:eastAsia="Times New Roman" w:hAnsi="inherit" w:cs="Times New Roman"/>
          <w:color w:val="333333"/>
          <w:sz w:val="24"/>
          <w:szCs w:val="24"/>
        </w:rPr>
        <w:softHyphen/>
        <w:t>– her aides told me that they had never witnessed it before – when the Queen stayed for two hours longer than her scheduled departure time. The day was 27 January 2005, the occasion, the sixtieth anniversary of the liberation of Auschwitz. The Queen had invited survivors to a reception at St James’ Palace. Each had a story to tell, and the Queen took the time to listen to every one of them. One after another came up to me and said, “Sixty years ago I did not know whether tomorrow I would be alive, and here I am talking to the Queen.” That act of listening was one of the most royal acts of graciousness I have ever witnessed. Listening is a profound affirmation of the humanity of the other.</w:t>
      </w:r>
    </w:p>
    <w:p w:rsidR="00AA0B79" w:rsidRPr="00AA0B79" w:rsidRDefault="00AA0B79" w:rsidP="00EB6F4A">
      <w:pPr>
        <w:spacing w:after="0" w:line="360" w:lineRule="atLeast"/>
        <w:ind w:firstLine="720"/>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In the encounter at the burning bush, when God summoned Moses to be a leader, Moses replied, “I am not a man of words, not yesterday, not the day before, not from the first time </w:t>
      </w:r>
      <w:proofErr w:type="gramStart"/>
      <w:r w:rsidRPr="00AA0B79">
        <w:rPr>
          <w:rFonts w:ascii="inherit" w:eastAsia="Times New Roman" w:hAnsi="inherit" w:cs="Times New Roman"/>
          <w:color w:val="333333"/>
          <w:sz w:val="24"/>
          <w:szCs w:val="24"/>
        </w:rPr>
        <w:t>You</w:t>
      </w:r>
      <w:proofErr w:type="gramEnd"/>
      <w:r w:rsidRPr="00AA0B79">
        <w:rPr>
          <w:rFonts w:ascii="inherit" w:eastAsia="Times New Roman" w:hAnsi="inherit" w:cs="Times New Roman"/>
          <w:color w:val="333333"/>
          <w:sz w:val="24"/>
          <w:szCs w:val="24"/>
        </w:rPr>
        <w:t xml:space="preserve"> spoke to your servant. I am slow of speech and tongue</w:t>
      </w:r>
      <w:proofErr w:type="gramStart"/>
      <w:r w:rsidRPr="00AA0B79">
        <w:rPr>
          <w:rFonts w:ascii="inherit" w:eastAsia="Times New Roman" w:hAnsi="inherit" w:cs="Times New Roman"/>
          <w:color w:val="333333"/>
          <w:sz w:val="24"/>
          <w:szCs w:val="24"/>
        </w:rPr>
        <w:t>”(</w:t>
      </w:r>
      <w:proofErr w:type="gramEnd"/>
      <w:r w:rsidRPr="00AA0B79">
        <w:rPr>
          <w:rFonts w:ascii="inherit" w:eastAsia="Times New Roman" w:hAnsi="inherit" w:cs="Times New Roman"/>
          <w:color w:val="333333"/>
          <w:sz w:val="24"/>
          <w:szCs w:val="24"/>
        </w:rPr>
        <w:t>Ex. 4: 10). Why would God choose to lead the Jewish people a man who found it hard to speak? </w:t>
      </w:r>
      <w:proofErr w:type="gramStart"/>
      <w:r w:rsidRPr="00AA0B79">
        <w:rPr>
          <w:rFonts w:ascii="inherit" w:eastAsia="Times New Roman" w:hAnsi="inherit" w:cs="Times New Roman"/>
          <w:i/>
          <w:iCs/>
          <w:color w:val="333333"/>
          <w:sz w:val="24"/>
          <w:szCs w:val="24"/>
          <w:bdr w:val="none" w:sz="0" w:space="0" w:color="auto" w:frame="1"/>
        </w:rPr>
        <w:t>Perhaps because one who cannot speak learns how to listen</w:t>
      </w:r>
      <w:r w:rsidRPr="00AA0B79">
        <w:rPr>
          <w:rFonts w:ascii="inherit" w:eastAsia="Times New Roman" w:hAnsi="inherit" w:cs="Times New Roman"/>
          <w:color w:val="333333"/>
          <w:sz w:val="24"/>
          <w:szCs w:val="24"/>
        </w:rPr>
        <w:t>.</w:t>
      </w:r>
      <w:proofErr w:type="gramEnd"/>
      <w:r w:rsidRPr="00AA0B79">
        <w:rPr>
          <w:rFonts w:ascii="inherit" w:eastAsia="Times New Roman" w:hAnsi="inherit" w:cs="Times New Roman"/>
          <w:color w:val="333333"/>
          <w:sz w:val="24"/>
          <w:szCs w:val="24"/>
        </w:rPr>
        <w:t xml:space="preserve"> A leader is one who knows how to listen: to the unspoken cry of others and to the still, small voice of God.</w:t>
      </w:r>
    </w:p>
    <w:p w:rsidR="00AA0B79" w:rsidRPr="00AA0B79" w:rsidRDefault="00AA0B79" w:rsidP="00AA0B79">
      <w:pPr>
        <w:spacing w:after="0" w:line="360" w:lineRule="atLeast"/>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w:t>
      </w:r>
    </w:p>
    <w:p w:rsidR="00AA0B79" w:rsidRPr="00AA0B79" w:rsidRDefault="00AA0B79" w:rsidP="00AA0B79">
      <w:pPr>
        <w:spacing w:after="0" w:line="360" w:lineRule="atLeast"/>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lastRenderedPageBreak/>
        <w:t>[1] Robert Frost said: “Poetry is what gets lost in translation.” Cervantes compared translation to the other side of a tapestry. At best we see a rough outline of the pattern we know exists on the other side, but it lacks definition and is full of loose threads.</w:t>
      </w:r>
    </w:p>
    <w:p w:rsidR="00AA0B79" w:rsidRPr="00AA0B79" w:rsidRDefault="00AA0B79" w:rsidP="00AA0B79">
      <w:pPr>
        <w:spacing w:after="0" w:line="360" w:lineRule="atLeast"/>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[2] Anna O. (Bertha </w:t>
      </w:r>
      <w:proofErr w:type="spellStart"/>
      <w:r w:rsidRPr="00AA0B79">
        <w:rPr>
          <w:rFonts w:ascii="inherit" w:eastAsia="Times New Roman" w:hAnsi="inherit" w:cs="Times New Roman"/>
          <w:color w:val="333333"/>
          <w:sz w:val="24"/>
          <w:szCs w:val="24"/>
        </w:rPr>
        <w:t>Pappenheim</w:t>
      </w:r>
      <w:proofErr w:type="spellEnd"/>
      <w:r w:rsidRPr="00AA0B79">
        <w:rPr>
          <w:rFonts w:ascii="inherit" w:eastAsia="Times New Roman" w:hAnsi="inherit" w:cs="Times New Roman"/>
          <w:color w:val="333333"/>
          <w:sz w:val="24"/>
          <w:szCs w:val="24"/>
        </w:rPr>
        <w:t>) famously described Freudian psychoanalysis as “the talking cure,” but it is in fact a listening cure. Only through the active listening of the analyst can there be the therapeutic or cathartic talking of the patient.</w:t>
      </w:r>
    </w:p>
    <w:p w:rsidR="00AA0B79" w:rsidRDefault="00AA0B79" w:rsidP="00AA0B79">
      <w:pPr>
        <w:spacing w:after="0" w:line="360" w:lineRule="atLeast"/>
        <w:textAlignment w:val="baseline"/>
        <w:rPr>
          <w:rFonts w:ascii="inherit" w:eastAsia="Times New Roman" w:hAnsi="inherit" w:cs="Times New Roman"/>
          <w:color w:val="333333"/>
          <w:sz w:val="24"/>
          <w:szCs w:val="24"/>
        </w:rPr>
      </w:pPr>
      <w:r w:rsidRPr="00AA0B79">
        <w:rPr>
          <w:rFonts w:ascii="inherit" w:eastAsia="Times New Roman" w:hAnsi="inherit" w:cs="Times New Roman"/>
          <w:color w:val="333333"/>
          <w:sz w:val="24"/>
          <w:szCs w:val="24"/>
        </w:rPr>
        <w:t xml:space="preserve">[3] Anna </w:t>
      </w:r>
      <w:proofErr w:type="spellStart"/>
      <w:r w:rsidRPr="00AA0B79">
        <w:rPr>
          <w:rFonts w:ascii="inherit" w:eastAsia="Times New Roman" w:hAnsi="inherit" w:cs="Times New Roman"/>
          <w:color w:val="333333"/>
          <w:sz w:val="24"/>
          <w:szCs w:val="24"/>
        </w:rPr>
        <w:t>Redsand</w:t>
      </w:r>
      <w:proofErr w:type="spellEnd"/>
      <w:r w:rsidRPr="00AA0B79">
        <w:rPr>
          <w:rFonts w:ascii="inherit" w:eastAsia="Times New Roman" w:hAnsi="inherit" w:cs="Times New Roman"/>
          <w:color w:val="333333"/>
          <w:sz w:val="24"/>
          <w:szCs w:val="24"/>
        </w:rPr>
        <w:t>, </w:t>
      </w:r>
      <w:r w:rsidRPr="00AA0B79">
        <w:rPr>
          <w:rFonts w:ascii="inherit" w:eastAsia="Times New Roman" w:hAnsi="inherit" w:cs="Times New Roman"/>
          <w:i/>
          <w:iCs/>
          <w:color w:val="333333"/>
          <w:sz w:val="24"/>
          <w:szCs w:val="24"/>
          <w:bdr w:val="none" w:sz="0" w:space="0" w:color="auto" w:frame="1"/>
        </w:rPr>
        <w:t xml:space="preserve">Viktor </w:t>
      </w:r>
      <w:proofErr w:type="spellStart"/>
      <w:r w:rsidRPr="00AA0B79">
        <w:rPr>
          <w:rFonts w:ascii="inherit" w:eastAsia="Times New Roman" w:hAnsi="inherit" w:cs="Times New Roman"/>
          <w:i/>
          <w:iCs/>
          <w:color w:val="333333"/>
          <w:sz w:val="24"/>
          <w:szCs w:val="24"/>
          <w:bdr w:val="none" w:sz="0" w:space="0" w:color="auto" w:frame="1"/>
        </w:rPr>
        <w:t>Frankl</w:t>
      </w:r>
      <w:proofErr w:type="spellEnd"/>
      <w:r w:rsidRPr="00AA0B79">
        <w:rPr>
          <w:rFonts w:ascii="inherit" w:eastAsia="Times New Roman" w:hAnsi="inherit" w:cs="Times New Roman"/>
          <w:i/>
          <w:iCs/>
          <w:color w:val="333333"/>
          <w:sz w:val="24"/>
          <w:szCs w:val="24"/>
          <w:bdr w:val="none" w:sz="0" w:space="0" w:color="auto" w:frame="1"/>
        </w:rPr>
        <w:t>, a life worth living</w:t>
      </w:r>
      <w:r w:rsidRPr="00AA0B79">
        <w:rPr>
          <w:rFonts w:ascii="inherit" w:eastAsia="Times New Roman" w:hAnsi="inherit" w:cs="Times New Roman"/>
          <w:color w:val="333333"/>
          <w:sz w:val="24"/>
          <w:szCs w:val="24"/>
        </w:rPr>
        <w:t>, Houghton Mifflin Harcourt, 2006, 113-14.</w:t>
      </w:r>
    </w:p>
    <w:p w:rsidR="0006115B" w:rsidRDefault="0006115B" w:rsidP="00AA0B79">
      <w:pPr>
        <w:spacing w:after="0" w:line="360" w:lineRule="atLeast"/>
        <w:textAlignment w:val="baseline"/>
        <w:rPr>
          <w:rFonts w:ascii="inherit" w:eastAsia="Times New Roman" w:hAnsi="inherit" w:cs="Times New Roman"/>
          <w:color w:val="333333"/>
          <w:sz w:val="24"/>
          <w:szCs w:val="24"/>
        </w:rPr>
      </w:pPr>
    </w:p>
    <w:p w:rsidR="0006115B" w:rsidRDefault="0006115B" w:rsidP="0006115B">
      <w:pPr>
        <w:jc w:val="center"/>
      </w:pPr>
      <w:r>
        <w:rPr>
          <w:noProof/>
        </w:rPr>
        <w:drawing>
          <wp:inline distT="0" distB="0" distL="0" distR="0" wp14:anchorId="3C90CAF6" wp14:editId="19C70787">
            <wp:extent cx="2011680" cy="925079"/>
            <wp:effectExtent l="0" t="0" r="7620" b="8890"/>
            <wp:docPr id="3" name="Picture 3" descr="TWJC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JC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925079"/>
                    </a:xfrm>
                    <a:prstGeom prst="rect">
                      <a:avLst/>
                    </a:prstGeom>
                    <a:noFill/>
                    <a:ln>
                      <a:noFill/>
                    </a:ln>
                  </pic:spPr>
                </pic:pic>
              </a:graphicData>
            </a:graphic>
          </wp:inline>
        </w:drawing>
      </w:r>
      <w:r>
        <w:rPr>
          <w:noProof/>
        </w:rPr>
        <w:drawing>
          <wp:inline distT="0" distB="0" distL="0" distR="0" wp14:anchorId="03788D74" wp14:editId="42D75296">
            <wp:extent cx="2819400" cy="1295212"/>
            <wp:effectExtent l="0" t="0" r="0" b="635"/>
            <wp:docPr id="4" name="Picture 4" descr="https://upload.wikimedia.org/wikipedia/en/d/d8/PJ_Library_Logo_with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d/d8/PJ_Library_Logo_with_Tag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1295212"/>
                    </a:xfrm>
                    <a:prstGeom prst="rect">
                      <a:avLst/>
                    </a:prstGeom>
                    <a:noFill/>
                    <a:ln>
                      <a:noFill/>
                    </a:ln>
                  </pic:spPr>
                </pic:pic>
              </a:graphicData>
            </a:graphic>
          </wp:inline>
        </w:drawing>
      </w:r>
    </w:p>
    <w:p w:rsidR="0006115B" w:rsidRDefault="0006115B" w:rsidP="0006115B">
      <w:pPr>
        <w:jc w:val="center"/>
      </w:pPr>
    </w:p>
    <w:p w:rsidR="0006115B" w:rsidRDefault="0006115B" w:rsidP="0006115B">
      <w:pPr>
        <w:spacing w:after="0"/>
        <w:jc w:val="center"/>
        <w:rPr>
          <w:rFonts w:ascii="Palatino Linotype" w:hAnsi="Palatino Linotype"/>
          <w:sz w:val="36"/>
          <w:szCs w:val="36"/>
        </w:rPr>
      </w:pPr>
      <w:r>
        <w:rPr>
          <w:rFonts w:ascii="Palatino Linotype" w:hAnsi="Palatino Linotype"/>
          <w:sz w:val="36"/>
          <w:szCs w:val="36"/>
        </w:rPr>
        <w:t>Women’s Leadership Institute</w:t>
      </w:r>
    </w:p>
    <w:p w:rsidR="001E7145" w:rsidRDefault="0006115B" w:rsidP="001E7145">
      <w:pPr>
        <w:spacing w:after="0"/>
        <w:jc w:val="center"/>
        <w:rPr>
          <w:rFonts w:ascii="Palatino Linotype" w:hAnsi="Palatino Linotype"/>
          <w:sz w:val="36"/>
          <w:szCs w:val="36"/>
        </w:rPr>
      </w:pPr>
      <w:r w:rsidRPr="0006115B">
        <w:rPr>
          <w:rFonts w:ascii="Palatino Linotype" w:hAnsi="Palatino Linotype"/>
          <w:sz w:val="36"/>
          <w:szCs w:val="36"/>
        </w:rPr>
        <w:t>Session #2</w:t>
      </w:r>
      <w:r>
        <w:rPr>
          <w:rFonts w:ascii="Palatino Linotype" w:hAnsi="Palatino Linotype"/>
          <w:sz w:val="36"/>
          <w:szCs w:val="36"/>
        </w:rPr>
        <w:t>:  Communication</w:t>
      </w:r>
    </w:p>
    <w:p w:rsidR="001E7145" w:rsidRPr="001E7145" w:rsidRDefault="001E7145" w:rsidP="0006115B">
      <w:pPr>
        <w:spacing w:after="0"/>
        <w:jc w:val="center"/>
        <w:rPr>
          <w:rFonts w:ascii="Palatino Linotype" w:hAnsi="Palatino Linotype"/>
          <w:sz w:val="24"/>
          <w:szCs w:val="24"/>
        </w:rPr>
      </w:pPr>
      <w:r w:rsidRPr="001E7145">
        <w:rPr>
          <w:rFonts w:ascii="Palatino Linotype" w:hAnsi="Palatino Linotype"/>
          <w:sz w:val="24"/>
          <w:szCs w:val="24"/>
        </w:rPr>
        <w:t>September 8, 2015/24 Elul, 5775</w:t>
      </w:r>
    </w:p>
    <w:p w:rsidR="00030640" w:rsidRPr="0006115B" w:rsidRDefault="00030640" w:rsidP="0006115B">
      <w:pPr>
        <w:spacing w:after="0"/>
        <w:jc w:val="center"/>
        <w:rPr>
          <w:rFonts w:ascii="Palatino Linotype" w:hAnsi="Palatino Linotype"/>
          <w:sz w:val="36"/>
          <w:szCs w:val="36"/>
        </w:rPr>
      </w:pPr>
    </w:p>
    <w:p w:rsidR="0006115B" w:rsidRPr="00AA0B79" w:rsidRDefault="0006115B" w:rsidP="00AA0B79">
      <w:pPr>
        <w:spacing w:after="0" w:line="360" w:lineRule="atLeast"/>
        <w:textAlignment w:val="baseline"/>
        <w:rPr>
          <w:rFonts w:ascii="inherit" w:eastAsia="Times New Roman" w:hAnsi="inherit" w:cs="Times New Roman"/>
          <w:color w:val="333333"/>
          <w:sz w:val="24"/>
          <w:szCs w:val="24"/>
        </w:rPr>
      </w:pPr>
      <w:r>
        <w:rPr>
          <w:rFonts w:ascii="Times New Roman" w:eastAsia="Times New Roman" w:hAnsi="Times New Roman" w:cs="Times New Roman"/>
          <w:noProof/>
          <w:sz w:val="24"/>
          <w:szCs w:val="24"/>
        </w:rPr>
        <w:lastRenderedPageBreak/>
        <w:drawing>
          <wp:inline distT="0" distB="0" distL="0" distR="0" wp14:anchorId="052C605B" wp14:editId="12793C9B">
            <wp:extent cx="5943600" cy="4904769"/>
            <wp:effectExtent l="0" t="0" r="0" b="0"/>
            <wp:docPr id="2" name="Picture 2"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04769"/>
                    </a:xfrm>
                    <a:prstGeom prst="rect">
                      <a:avLst/>
                    </a:prstGeom>
                    <a:noFill/>
                    <a:ln>
                      <a:noFill/>
                    </a:ln>
                  </pic:spPr>
                </pic:pic>
              </a:graphicData>
            </a:graphic>
          </wp:inline>
        </w:drawing>
      </w:r>
    </w:p>
    <w:p w:rsidR="00CF0ACD" w:rsidRDefault="00D86B2A"/>
    <w:p w:rsidR="00030640" w:rsidRDefault="00030640" w:rsidP="00030640">
      <w:pPr>
        <w:jc w:val="center"/>
      </w:pPr>
      <w:r>
        <w:rPr>
          <w:noProof/>
        </w:rPr>
        <w:drawing>
          <wp:inline distT="0" distB="0" distL="0" distR="0" wp14:anchorId="0E3CA7CF" wp14:editId="47FE5969">
            <wp:extent cx="2011680" cy="925079"/>
            <wp:effectExtent l="0" t="0" r="7620" b="8890"/>
            <wp:docPr id="5" name="Picture 5" descr="TWJC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JC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925079"/>
                    </a:xfrm>
                    <a:prstGeom prst="rect">
                      <a:avLst/>
                    </a:prstGeom>
                    <a:noFill/>
                    <a:ln>
                      <a:noFill/>
                    </a:ln>
                  </pic:spPr>
                </pic:pic>
              </a:graphicData>
            </a:graphic>
          </wp:inline>
        </w:drawing>
      </w:r>
      <w:r>
        <w:rPr>
          <w:noProof/>
        </w:rPr>
        <w:drawing>
          <wp:inline distT="0" distB="0" distL="0" distR="0" wp14:anchorId="03B8E73E" wp14:editId="678BDDAF">
            <wp:extent cx="2819400" cy="1295212"/>
            <wp:effectExtent l="0" t="0" r="0" b="635"/>
            <wp:docPr id="6" name="Picture 6" descr="https://upload.wikimedia.org/wikipedia/en/d/d8/PJ_Library_Logo_with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d/d8/PJ_Library_Logo_with_Tag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1295212"/>
                    </a:xfrm>
                    <a:prstGeom prst="rect">
                      <a:avLst/>
                    </a:prstGeom>
                    <a:noFill/>
                    <a:ln>
                      <a:noFill/>
                    </a:ln>
                  </pic:spPr>
                </pic:pic>
              </a:graphicData>
            </a:graphic>
          </wp:inline>
        </w:drawing>
      </w:r>
    </w:p>
    <w:p w:rsidR="00030640" w:rsidRDefault="00030640" w:rsidP="00030640">
      <w:pPr>
        <w:jc w:val="center"/>
      </w:pPr>
    </w:p>
    <w:p w:rsidR="00030640" w:rsidRDefault="00030640" w:rsidP="00030640">
      <w:pPr>
        <w:spacing w:after="0"/>
        <w:jc w:val="center"/>
        <w:rPr>
          <w:rFonts w:ascii="Palatino Linotype" w:hAnsi="Palatino Linotype"/>
          <w:sz w:val="36"/>
          <w:szCs w:val="36"/>
        </w:rPr>
      </w:pPr>
      <w:r>
        <w:rPr>
          <w:rFonts w:ascii="Palatino Linotype" w:hAnsi="Palatino Linotype"/>
          <w:sz w:val="36"/>
          <w:szCs w:val="36"/>
        </w:rPr>
        <w:t>Women’s Leadership Institute</w:t>
      </w:r>
    </w:p>
    <w:p w:rsidR="00030640" w:rsidRDefault="00030640" w:rsidP="00030640">
      <w:pPr>
        <w:spacing w:after="0"/>
        <w:jc w:val="center"/>
        <w:rPr>
          <w:rFonts w:ascii="Palatino Linotype" w:hAnsi="Palatino Linotype"/>
          <w:sz w:val="36"/>
          <w:szCs w:val="36"/>
        </w:rPr>
      </w:pPr>
      <w:r>
        <w:rPr>
          <w:rFonts w:ascii="Palatino Linotype" w:hAnsi="Palatino Linotype"/>
          <w:sz w:val="36"/>
          <w:szCs w:val="36"/>
        </w:rPr>
        <w:t>Session #1:  Why Be Jewish?</w:t>
      </w:r>
    </w:p>
    <w:p w:rsidR="001E7145" w:rsidRPr="001E7145" w:rsidRDefault="001E7145" w:rsidP="00030640">
      <w:pPr>
        <w:spacing w:after="0"/>
        <w:jc w:val="center"/>
        <w:rPr>
          <w:rFonts w:ascii="Palatino Linotype" w:hAnsi="Palatino Linotype"/>
          <w:sz w:val="24"/>
          <w:szCs w:val="24"/>
        </w:rPr>
      </w:pPr>
      <w:r w:rsidRPr="001E7145">
        <w:rPr>
          <w:rFonts w:ascii="Palatino Linotype" w:hAnsi="Palatino Linotype"/>
          <w:sz w:val="24"/>
          <w:szCs w:val="24"/>
        </w:rPr>
        <w:t>August 30, 2015/Elul 15, 5775</w:t>
      </w:r>
    </w:p>
    <w:p w:rsidR="00030640" w:rsidRDefault="00030640" w:rsidP="00030640">
      <w:pPr>
        <w:spacing w:after="0"/>
        <w:jc w:val="center"/>
        <w:rPr>
          <w:rFonts w:ascii="Palatino Linotype" w:hAnsi="Palatino Linotype"/>
          <w:sz w:val="36"/>
          <w:szCs w:val="36"/>
        </w:rPr>
      </w:pPr>
    </w:p>
    <w:p w:rsidR="00030640" w:rsidRDefault="00030640" w:rsidP="00030640">
      <w:pPr>
        <w:spacing w:after="0"/>
        <w:jc w:val="center"/>
        <w:rPr>
          <w:rFonts w:ascii="Palatino Linotype" w:hAnsi="Palatino Linotype"/>
          <w:sz w:val="36"/>
          <w:szCs w:val="36"/>
        </w:rPr>
      </w:pPr>
    </w:p>
    <w:p w:rsidR="00030640" w:rsidRPr="0006115B" w:rsidRDefault="00030640" w:rsidP="00030640">
      <w:pPr>
        <w:spacing w:after="0"/>
        <w:jc w:val="center"/>
        <w:rPr>
          <w:rFonts w:ascii="Palatino Linotype" w:hAnsi="Palatino Linotype"/>
          <w:sz w:val="36"/>
          <w:szCs w:val="36"/>
        </w:rPr>
      </w:pPr>
    </w:p>
    <w:p w:rsidR="0006115B" w:rsidRDefault="001E7145" w:rsidP="001E7145">
      <w:pPr>
        <w:jc w:val="center"/>
      </w:pPr>
      <w:r>
        <w:rPr>
          <w:noProof/>
        </w:rPr>
        <w:drawing>
          <wp:inline distT="0" distB="0" distL="0" distR="0">
            <wp:extent cx="5013960" cy="33365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5015470" cy="3337568"/>
                    </a:xfrm>
                    <a:prstGeom prst="rect">
                      <a:avLst/>
                    </a:prstGeom>
                  </pic:spPr>
                </pic:pic>
              </a:graphicData>
            </a:graphic>
          </wp:inline>
        </w:drawing>
      </w:r>
    </w:p>
    <w:sectPr w:rsidR="0006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4805"/>
    <w:multiLevelType w:val="hybridMultilevel"/>
    <w:tmpl w:val="9A680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A312F"/>
    <w:multiLevelType w:val="hybridMultilevel"/>
    <w:tmpl w:val="DFF44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C2"/>
    <w:rsid w:val="00030640"/>
    <w:rsid w:val="0006115B"/>
    <w:rsid w:val="001E7145"/>
    <w:rsid w:val="00341137"/>
    <w:rsid w:val="005C6B48"/>
    <w:rsid w:val="006C3485"/>
    <w:rsid w:val="007A20C2"/>
    <w:rsid w:val="00AA0B79"/>
    <w:rsid w:val="00D11B98"/>
    <w:rsid w:val="00D86B2A"/>
    <w:rsid w:val="00EB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B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0B79"/>
    <w:rPr>
      <w:color w:val="0000FF"/>
      <w:u w:val="single"/>
    </w:rPr>
  </w:style>
  <w:style w:type="paragraph" w:styleId="NormalWeb">
    <w:name w:val="Normal (Web)"/>
    <w:basedOn w:val="Normal"/>
    <w:uiPriority w:val="99"/>
    <w:semiHidden/>
    <w:unhideWhenUsed/>
    <w:rsid w:val="00AA0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0B79"/>
  </w:style>
  <w:style w:type="character" w:styleId="Emphasis">
    <w:name w:val="Emphasis"/>
    <w:basedOn w:val="DefaultParagraphFont"/>
    <w:uiPriority w:val="20"/>
    <w:qFormat/>
    <w:rsid w:val="00AA0B79"/>
    <w:rPr>
      <w:i/>
      <w:iCs/>
    </w:rPr>
  </w:style>
  <w:style w:type="paragraph" w:styleId="BalloonText">
    <w:name w:val="Balloon Text"/>
    <w:basedOn w:val="Normal"/>
    <w:link w:val="BalloonTextChar"/>
    <w:uiPriority w:val="99"/>
    <w:semiHidden/>
    <w:unhideWhenUsed/>
    <w:rsid w:val="00AA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79"/>
    <w:rPr>
      <w:rFonts w:ascii="Tahoma" w:hAnsi="Tahoma" w:cs="Tahoma"/>
      <w:sz w:val="16"/>
      <w:szCs w:val="16"/>
    </w:rPr>
  </w:style>
  <w:style w:type="paragraph" w:styleId="ListParagraph">
    <w:name w:val="List Paragraph"/>
    <w:basedOn w:val="Normal"/>
    <w:uiPriority w:val="34"/>
    <w:qFormat/>
    <w:rsid w:val="00EB6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B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0B79"/>
    <w:rPr>
      <w:color w:val="0000FF"/>
      <w:u w:val="single"/>
    </w:rPr>
  </w:style>
  <w:style w:type="paragraph" w:styleId="NormalWeb">
    <w:name w:val="Normal (Web)"/>
    <w:basedOn w:val="Normal"/>
    <w:uiPriority w:val="99"/>
    <w:semiHidden/>
    <w:unhideWhenUsed/>
    <w:rsid w:val="00AA0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0B79"/>
  </w:style>
  <w:style w:type="character" w:styleId="Emphasis">
    <w:name w:val="Emphasis"/>
    <w:basedOn w:val="DefaultParagraphFont"/>
    <w:uiPriority w:val="20"/>
    <w:qFormat/>
    <w:rsid w:val="00AA0B79"/>
    <w:rPr>
      <w:i/>
      <w:iCs/>
    </w:rPr>
  </w:style>
  <w:style w:type="paragraph" w:styleId="BalloonText">
    <w:name w:val="Balloon Text"/>
    <w:basedOn w:val="Normal"/>
    <w:link w:val="BalloonTextChar"/>
    <w:uiPriority w:val="99"/>
    <w:semiHidden/>
    <w:unhideWhenUsed/>
    <w:rsid w:val="00AA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79"/>
    <w:rPr>
      <w:rFonts w:ascii="Tahoma" w:hAnsi="Tahoma" w:cs="Tahoma"/>
      <w:sz w:val="16"/>
      <w:szCs w:val="16"/>
    </w:rPr>
  </w:style>
  <w:style w:type="paragraph" w:styleId="ListParagraph">
    <w:name w:val="List Paragraph"/>
    <w:basedOn w:val="Normal"/>
    <w:uiPriority w:val="34"/>
    <w:qFormat/>
    <w:rsid w:val="00EB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082">
      <w:bodyDiv w:val="1"/>
      <w:marLeft w:val="0"/>
      <w:marRight w:val="0"/>
      <w:marTop w:val="0"/>
      <w:marBottom w:val="0"/>
      <w:divBdr>
        <w:top w:val="none" w:sz="0" w:space="0" w:color="auto"/>
        <w:left w:val="none" w:sz="0" w:space="0" w:color="auto"/>
        <w:bottom w:val="none" w:sz="0" w:space="0" w:color="auto"/>
        <w:right w:val="none" w:sz="0" w:space="0" w:color="auto"/>
      </w:divBdr>
      <w:divsChild>
        <w:div w:id="1220246703">
          <w:blockQuote w:val="1"/>
          <w:marLeft w:val="474"/>
          <w:marRight w:val="474"/>
          <w:marTop w:val="450"/>
          <w:marBottom w:val="450"/>
          <w:divBdr>
            <w:top w:val="single" w:sz="6" w:space="15" w:color="EFEFEF"/>
            <w:left w:val="single" w:sz="6" w:space="15" w:color="EFEFEF"/>
            <w:bottom w:val="single" w:sz="6" w:space="15" w:color="EFEFEF"/>
            <w:right w:val="single" w:sz="6" w:space="15" w:color="EFEFE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abbisacks.org/category/judaism-tor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bbisacks.org/category/covenant-conversation/" TargetMode="Externa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Kanter</dc:creator>
  <cp:keywords/>
  <dc:description/>
  <cp:lastModifiedBy>Elana Kanter</cp:lastModifiedBy>
  <cp:revision>4</cp:revision>
  <cp:lastPrinted>2015-09-03T03:18:00Z</cp:lastPrinted>
  <dcterms:created xsi:type="dcterms:W3CDTF">2015-08-27T16:37:00Z</dcterms:created>
  <dcterms:modified xsi:type="dcterms:W3CDTF">2015-09-03T03:29:00Z</dcterms:modified>
</cp:coreProperties>
</file>